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Гигиена детей и подростков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Гигиена детей и подростков | Записей: 2</w:t>
      </w:r>
    </w:p>
    <w:p>
      <w:r>
        <w:br w:type="page"/>
      </w:r>
    </w:p>
    <w:p>
      <w:pPr>
        <w:pStyle w:val="Heading1"/>
      </w:pPr>
      <w:r>
        <w:t>Гигиена детей и подростков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Гигиена детей и подростков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Испытательный лабораторный центр материалов, производств и товаров для детей при ФБУЗ «Центр гигиены и эпидемиологии» г. М направлены типовые образцы изделий сосок-пустышек из латексных полимеров. Производитель – ОАО «Наша мама», Россия.</w:t>
      </w:r>
    </w:p>
    <w:p>
      <w:pPr>
        <w:pStyle w:val="Heading2"/>
      </w:pPr>
      <w:r>
        <w:t>1. Оценка ситуации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проведения санитарно-эпидемиологической экспертизы образца обязательно представление следующих документов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нормативные и технические документы на продукцию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акт отбора образцов продукции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потребительская этикетка (вкладыш) или ее макет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протоколы испытания продукции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санитарно-эпидемиологическое заключение о соответствии технических документов требованиям государственных санитарно-эпидемиологических правил и нормативов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заявление на проведение экспертизы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нормативные и технические документы на продукцию; акт отбора образцов продукции; потребительская этикетка (вкладыш) или ее макет; заявление на проведение экспертизы</w:t>
      </w:r>
    </w:p>
    <w:p>
      <w:pPr>
        <w:ind w:left="504"/>
      </w:pPr>
      <w:r>
        <w:rPr>
          <w:b w:val="0"/>
          <w:i/>
        </w:rPr>
        <w:t>«Для проведения санитарно-эпидемиологической экспертизы продукции представляются следующие документы:</w:t>
        <w:br/>
        <w:br/>
        <w:t>Для отечественной продукции:</w:t>
        <w:br/>
        <w:br/>
        <w:t>- нормативные и/или технические документы (технические условия, технологические инструкции, рецептуры, стандарты организаций и др.) на продукцию»,</w:t>
        <w:br/>
        <w:br/>
        <w:t>В соответствии с пунктом 10 приказа Роспотребнадзора от 19.07.2007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  <w:br/>
        <w:br/>
      </w:r>
      <w:hyperlink r:id="rId9">
        <w:r>
          <w:rPr>
            <w:color w:val="0F766E"/>
            <w:u w:val="single"/>
          </w:rPr>
          <w:t>https://legalacts.ru/doc/prikaz-rospotrebnadzora-ot-19072007-n-224-o</w:t>
        </w:r>
      </w:hyperlink>
    </w:p>
    <w:p>
      <w:pPr>
        <w:ind w:left="504"/>
      </w:pPr>
      <w:r>
        <w:rPr>
          <w:b w:val="0"/>
          <w:i/>
        </w:rPr>
        <w:t>«Для проведения санитарно-эпидемиологической экспертизы продукции представляются следующие документы:</w:t>
        <w:br/>
        <w:br/>
        <w:t>Для отечественной продукции:….</w:t>
        <w:br/>
        <w:br/>
        <w:t>- акт отбора образцов продукции, поступившей на санитарно-эпидемиологическую экспертиз»</w:t>
        <w:br/>
        <w:br/>
        <w:t>В соответствии с пунктом 10 приказа Роспотребнадзора от 19.07.2007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  <w:br/>
        <w:br/>
      </w:r>
      <w:hyperlink r:id="rId9">
        <w:r>
          <w:rPr>
            <w:color w:val="0F766E"/>
            <w:u w:val="single"/>
          </w:rPr>
          <w:t>https://legalacts.ru/doc/prikaz-rospotrebnadzora-ot-19072007-n-224-o</w:t>
        </w:r>
      </w:hyperlink>
    </w:p>
    <w:p>
      <w:pPr>
        <w:ind w:left="504"/>
      </w:pPr>
      <w:r>
        <w:rPr>
          <w:b w:val="0"/>
          <w:i/>
        </w:rPr>
        <w:t>«Для проведения санитарно-эпидемиологической экспертизы продукции представляются следующие документы:</w:t>
        <w:br/>
        <w:br/>
        <w:t>Для отечественной продукции:….</w:t>
        <w:br/>
        <w:br/>
        <w:t>- потребительская (или тарная) этикетка или их макеты»;</w:t>
        <w:br/>
        <w:br/>
        <w:t>В соответствии с пунктом 10 приказа Роспотребнадзора от 19.07.2007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  <w:br/>
        <w:br/>
      </w:r>
      <w:hyperlink r:id="rId9">
        <w:r>
          <w:rPr>
            <w:color w:val="0F766E"/>
            <w:u w:val="single"/>
          </w:rPr>
          <w:t>https://legalacts.ru/doc/prikaz-rospotrebnadzora-ot-19072007-n-224-o</w:t>
        </w:r>
      </w:hyperlink>
    </w:p>
    <w:p>
      <w:pPr>
        <w:ind w:left="504"/>
      </w:pPr>
      <w:r>
        <w:rPr>
          <w:b w:val="0"/>
          <w:i/>
        </w:rPr>
        <w:t>«Основаниями для проведения санитарно-эпидемиологических экспертиз, обследований, исследований, испытаний и токсикологических, гигиенических и иных видов оценок могут быть:</w:t>
        <w:br/>
        <w:br/>
        <w:t>заявления граждан, индивидуальных предпринимателей, юридических лиц о проведении санитарно-эпидемиологических экспертиз».</w:t>
        <w:br/>
        <w:br/>
        <w:t>В соответствии с пунктом 4 приказа Роспотребнадзора от 19.07.2007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  <w:br/>
        <w:br/>
      </w:r>
      <w:hyperlink r:id="rId9">
        <w:r>
          <w:rPr>
            <w:color w:val="0F766E"/>
            <w:u w:val="single"/>
          </w:rPr>
          <w:t>https://legalacts.ru/doc/prikaz-rospotrebnadzora-ot-19072007-n-224-o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Основными видами нормативных и методических документов, используемых при санитарно-эпидемиологической экспертизе сосок-пустышек,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технический регламент Таможенного Союза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приказы Министерства здравоохранения РФ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приказы Министерства просвещения РФ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документы по стандартизации методов исследования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единые санитарно-эпидемиологические и гигиенические требования к продукции, подлежащей санитарно-эпидемиологическому надзору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приказы Министерства природных ресурсов и экологии РФ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технический регламент Таможенного Союза; документы по стандартизации методов исследования</w:t>
      </w:r>
    </w:p>
    <w:p>
      <w:pPr>
        <w:ind w:left="504"/>
      </w:pPr>
      <w:r>
        <w:rPr>
          <w:b w:val="0"/>
          <w:i/>
        </w:rPr>
        <w:t>«К продукции, на которую распространяется действие настоящего технического регламента, относятся: изделия для ухода за детьми (соски молочные, соски-пустышки, посуда, столовые приборы, санитарно-гигиенические и галантерейные изделия, щетки зубные и массажеры для десен…)».</w:t>
        <w:br/>
        <w:br/>
        <w:t>В соответствии со ст.1 п.1 ТС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«Соответствие продукции для детей и подростков настоящему техническому регламенту обеспечивается выполнением его требований безопасности непосредственно либо выполнением требований документов в области стандартизации, включенных в Перечень документов в области стандартизации…»,</w:t>
        <w:br/>
        <w:br/>
        <w:t>В соответствии со ст.10 п.1 ТС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Основными видами документов по стандартизации методов исследования данного образца продукции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ГОСТы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технические регламенты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единые санитарно-эпидемиологические и гигиенические требования к продукции, подлежащей санитарно-эпидемиологическому надзору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санитарные правила и нормы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приказы министерств и ведомств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методические указания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ГОСТы; методические указания</w:t>
      </w:r>
    </w:p>
    <w:p>
      <w:pPr>
        <w:ind w:left="504"/>
      </w:pPr>
      <w:r>
        <w:rPr>
          <w:b w:val="0"/>
          <w:i/>
        </w:rPr>
        <w:t>Соски молочные, соски-пустышки</w:t>
        <w:br/>
        <w:br/>
      </w:r>
      <w:hyperlink r:id="rId11">
        <w:r>
          <w:rPr>
            <w:color w:val="0F766E"/>
            <w:u w:val="single"/>
          </w:rPr>
          <w:t>http://docs.cntd.ru/document/1200025845</w:t>
        </w:r>
      </w:hyperlink>
      <w:r>
        <w:rPr>
          <w:b w:val="0"/>
          <w:i/>
        </w:rPr>
        <w:br/>
        <w:br/>
        <w:t>"Соски латексные детские. Технические условия"</w:t>
        <w:br/>
        <w:br/>
        <w:t>В соответствии со ст.10 п.1 ТС ТР ТС 007/2011 «О безопасности продукции, предназначенной для детей и подростков» и перечнем документов по стандартизации, обеспечивающих соблюдение требований этого регламента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«Методические указания по санитарно-химическому исследованию детских латексных сосок и баллончиков сосок-пустышек»</w:t>
        <w:br/>
        <w:br/>
        <w:t>В соответствии со ст.10 п.1 ТС ТР ТС 007/2011 «О безопасности продукции, предназначенной для детей и подростков» и п.3 перечня документов по стандартизации, обеспечивающих соблюдение требований этого регламента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основным направлениям санитарно-эпидемиологической экспертизы сосок-пустышек относят оценку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микробиологической безопасности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маркировки изделия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механической безопасности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термической безопасности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биологической безопасности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химической безопасности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маркировки изделия; механической безопасности; биологической безопасности; химической безопасности</w:t>
      </w:r>
    </w:p>
    <w:p>
      <w:pPr>
        <w:ind w:left="504"/>
      </w:pPr>
      <w:r>
        <w:rPr>
          <w:b w:val="0"/>
          <w:i/>
        </w:rPr>
        <w:t>«Маркировка продукции должна быть достоверной, проверяемой, читаемой и доступной для осмотра и идентификации».</w:t>
        <w:br/>
        <w:br/>
        <w:t>В соответствии со ст.9 п.1.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«Соски молочные, соски-пустышки и изделия санитарно-гигиенические из латекса, резины и силиконовых эластомеров должны соответствовать требованиям химической и механической безопасности».</w:t>
        <w:br/>
        <w:br/>
        <w:t>В соответствии с п.2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«Изделия для ухода за детьми должны соответствовать следующим общим требованиям безопасности: индекс токсичности, определяемый в водной среде (дистиллированная вода), должен быть в пределах от 70 до 120 процентов включительно или должно отсутствовать местное раздражающее действие на кожные покровы и слизистые.»</w:t>
        <w:br/>
        <w:br/>
        <w:t>В соответствии с п.1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«Соски молочные, соски-пустышки и изделия санитарно-гигиенические из латекса, резины и силиконовых эластомеров должны соответствовать требованиям химической и механической безопасности».</w:t>
        <w:br/>
        <w:br/>
        <w:t>В соответствии с п.2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Маркировка реализуемой продукции для детей и подростков должна содержать следующую обязательную информацию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дату изготовления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наименование и местонахождение изготовителя, дистрибьютора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рекомендуемую цену изделия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наименование и вид (назначение) изделия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наименование страны, где изготовлена продукция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единый знак обращения на рынке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дату изготовления; наименование и местонахождение изготовителя, дистрибьютора; наименование и вид (назначение) изделия; наименование страны, где изготовлена продукция; единый знак обращения на рынке</w:t>
      </w:r>
    </w:p>
    <w:p>
      <w:pPr>
        <w:ind w:left="504"/>
      </w:pPr>
      <w:r>
        <w:rPr>
          <w:b w:val="0"/>
          <w:i/>
        </w:rPr>
        <w:t>«Маркировка продукции должна содержать следующую информацию:;… дата изготовления;…»</w:t>
        <w:br/>
        <w:br/>
        <w:t>В соответствии со ст.9 п.2.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«Маркировка продукции должна содержать следующую информацию:; наименование и местонахождение изготовителя (уполномоченного изготовителем лица), импортера, дистрибьютора»;.</w:t>
        <w:br/>
        <w:br/>
        <w:t>В соответствии со ст.9 п.2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«Маркировка продукции должна содержать следующую информацию: …наименование и вид (назначение) изделия; ….</w:t>
        <w:br/>
        <w:br/>
        <w:t>В соответствии со ст.9 п.2.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«Маркировка продукции должна содержать следующую информацию: наименование страны, где изготовлена продукция;…»</w:t>
        <w:br/>
        <w:br/>
        <w:t>В соответствии со ст.9 п.2.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«Продукция для детей и подростков, соответствующая требованиям безопасности настоящего технического регламента и прошедшая процедуру оценки (подтверждения) соответствия, должна иметь маркировку единым знаком обращения продукции на рынке государств-членов Таможенного союза»</w:t>
        <w:br/>
        <w:br/>
        <w:t>В соответствии со ст.13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Маркировка данного вида изделия также должна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содержать сведения о гарантийном сроке службы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содержать инструкцию по использованию, хранению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содержать сведения о виде использованных красителей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содержать сведения о возрасте детей, для которых она предназначена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содержать инструкцию по гигиеническому уходу за изделием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наноситься на закрытую упаковку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содержать сведения о гарантийном сроке службы; содержать инструкцию по использованию, хранению; содержать инструкцию по гигиеническому уходу за изделием; наноситься на закрытую упаковку</w:t>
      </w:r>
    </w:p>
    <w:p>
      <w:pPr>
        <w:ind w:left="504"/>
      </w:pPr>
      <w:r>
        <w:rPr>
          <w:b w:val="0"/>
          <w:i/>
        </w:rPr>
        <w:t>«Маркировка сосок молочных и сосок-пустышек должна наноситься на закрытую упаковку и содержать гарантийный срок службы, инструкцию по использованию, хранению, гигиеническому уходу за изделием»</w:t>
        <w:br/>
        <w:br/>
        <w:t>В соответствии с п.5 ст.9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«Маркировка сосок молочных и сосок-пустышек должна наноситься на закрытую упаковку и содержать гарантийный срок службы, инструкцию по использованию, хранению, гигиеническому уходу за изделием»</w:t>
        <w:br/>
        <w:br/>
        <w:t>В соответствии с п.5 ст.9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«Маркировка сосок молочных и сосок-пустышек должна наноситься на закрытую упаковку и содержать гарантийный срок службы, инструкцию по использованию, хранению, гигиеническому уходу за изделием»</w:t>
        <w:br/>
        <w:br/>
        <w:t>В соответствии с п.5 ст.9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«Маркировка сосок молочных и сосок-пустышек должна наноситься на закрытую упаковку и содержать гарантийный срок службы, инструкцию по использованию, хранению, гигиеническому уходу за изделием»</w:t>
        <w:br/>
        <w:br/>
        <w:t>В соответствии с п.5 ст.9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pStyle w:val="Heading2"/>
      </w:pPr>
      <w:r>
        <w:t>8. Протокол результатов санитарно-химического исследования образца</w:t>
      </w:r>
    </w:p>
    <w:p>
      <w:pPr>
        <w:spacing w:after="58"/>
      </w:pPr>
      <w:r>
        <w:rPr>
          <w:b w:val="0"/>
          <w:i w:val="0"/>
        </w:rPr>
        <w:t>Протокол результатов санитарно-химического исследования образца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Ед. измерения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Результаты исследования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Определение миграции химических веществ в модельную среду – дистиллированную воду.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Агидол-2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мг/дм3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1,0 (2,0)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Фенол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мг/дм3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 обнаружен (не допускается)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N-нитрозообразующие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мкг/кг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190 (200)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Фталевый ангидрид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мг/дм3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0,1 (0,2)</w:t>
            </w:r>
          </w:p>
        </w:tc>
        <w:tc>
          <w:tcPr>
            <w:tcW w:type="dxa" w:w="3408"/>
          </w:tcPr>
          <w:p/>
        </w:tc>
        <w:tc>
          <w:tcPr>
            <w:tcW w:type="dxa" w:w="3408"/>
          </w:tcPr>
          <w:p/>
        </w:tc>
      </w:tr>
    </w:tbl>
    <w:p/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 недостаткам проведения исследования и оформления протокола следует отнести отсутствие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исследования выделения вредных химических веществ в модельную среду – воздух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исследования изменения рН водной вытяжки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описания условий моделирования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ссылок на методические документы для определения химических веществ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указания предела обнаружения вредного вещества по методике проведения измерений для фенола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исследования выделения N-нитрозообразующих в модельную среду, имитирующую слюну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исследования изменения рН водной вытяжки; описания условий моделирования; ссылок на методические документы для определения химических веществ; указания предела обнаружения вредного вещества по методике проведения измерений для фенола; исследования выделения N-нитрозообразующих в модельную среду, имитирующую слюну</w:t>
      </w:r>
    </w:p>
    <w:p>
      <w:pPr>
        <w:ind w:left="504"/>
      </w:pPr>
      <w:r>
        <w:rPr>
          <w:b w:val="0"/>
          <w:i/>
        </w:rPr>
        <w:t>Изделия для ухода за детьми должны соответствовать следующим общим требованиям безопасности:… изменение pH водной вытяжки должно быть не более±1,0».</w:t>
        <w:br/>
        <w:br/>
        <w:t>В соответствии с п.1.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Водную вытяжку из материалов различного состава готовят в соответствии с действующей нормативно-методической документацией на соответствующие виды исследуемых изделий и материалов.</w:t>
        <w:br/>
        <w:br/>
        <w:t>В соответствии с п.3 перечня документов по стандартизации, обеспечивающих соблюдение требований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При проведении санитарно-эпидемиологических экспертиз, обследований, исследований, испытаний и токсикологических, гигиенических и иных видов оценок необходимо руководствоваться техническими регламентами, государственными санитарно-эпидемиологическими правилами и нормативами и использовать методы, методики выполнения измерений и типы средств измерений, утвержденные в установленном порядке.</w:t>
        <w:br/>
        <w:br/>
        <w:t>В соответствии с пунктом 7 приказа Роспотребнадзора от 19.07.2007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  <w:br/>
        <w:br/>
      </w:r>
      <w:hyperlink r:id="rId9">
        <w:r>
          <w:rPr>
            <w:color w:val="0F766E"/>
            <w:u w:val="single"/>
          </w:rPr>
          <w:t>https://legalacts.ru/doc/prikaz-rospotrebnadzora-ot-19072007-n-224-o</w:t>
        </w:r>
      </w:hyperlink>
    </w:p>
    <w:p>
      <w:pPr>
        <w:ind w:left="504"/>
      </w:pPr>
      <w:r>
        <w:rPr>
          <w:b w:val="0"/>
          <w:i/>
        </w:rPr>
        <w:t>«В случае, если показатель химической безопасности установлен «не допускается», то обязательным является указание предела обнаружения вредных веществ по методикам выполнения измерений, допущенным к применению для контроля санитарно-химических показателей.»</w:t>
        <w:br/>
        <w:br/>
        <w:t>В соответствии со ст.2 п.2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«N-нитрозообразующие (извлечение искусственной слюной) - не более 200,0 мкг/кг;»</w:t>
        <w:br/>
        <w:br/>
        <w:t>В соответствии со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 необходимым органолептическим исследованиям данного образца относят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характера поверхности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привкуса водной вытяжки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мутности водной вытяжки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запаха водной вытяжки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запаха образца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цветности водной вытяжки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характера поверхности; привкуса водной вытяжки</w:t>
      </w:r>
    </w:p>
    <w:p>
      <w:pPr>
        <w:ind w:left="504"/>
      </w:pPr>
      <w:r>
        <w:rPr>
          <w:b w:val="0"/>
          <w:i/>
        </w:rPr>
        <w:t>«Соски молочные и соски-пустышки должны иметь гладкую без швов наружную и внутреннюю поверхности»,</w:t>
        <w:br/>
        <w:br/>
        <w:t>В соответствии с п.2.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«Соски молочные, соски-пустышки и изделия санитарно-гигиенические из латекса, резины и силиконовых эластомеров должны соответствовать требованиям химической и механической безопасности. Не допускается наличие привкуса водной вытяжки.»</w:t>
        <w:br/>
        <w:br/>
        <w:t>В соответствии с п.2.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оценки биологической безопасности данного образца изделия необходимо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индекса токсичности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местного раздражающего действия на кожные покровы и слизистые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аллергизирующего действия в клинических исследованиях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острой токсичности при пероральном введении водной вытяжки экспериментальным животным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сенсибилизирующего действия на биологических моделях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микробиологической обсемененности образца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индекса токсичности; местного раздражающего действия на кожные покровы и слизистые</w:t>
      </w:r>
    </w:p>
    <w:p>
      <w:pPr>
        <w:ind w:left="504"/>
      </w:pPr>
      <w:r>
        <w:rPr>
          <w:b w:val="0"/>
          <w:i/>
        </w:rPr>
        <w:t>«Изделия для ухода за детьми должны соответствовать следующим общим требованиям безопасности:индекс токсичности, определяемый в водной среде (дистиллированная вода), должен быть в пределах от 70 до 120 процентов включительно или должно отсутствовать местное раздражающее действие на кожные покровы и слизистые.»</w:t>
        <w:br/>
        <w:br/>
        <w:t>В соответствии с п.1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«Изделия для ухода за детьми должны соответствовать следующим общим требованиям безопасности:индекс токсичности, определяемый в водной среде (дистиллированная вода), должен быть в пределах от 70 до 120 процентов включительно или должно отсутствовать местное раздражающее действие на кожные покровы и слизистые.»</w:t>
        <w:br/>
        <w:br/>
        <w:t>В соответствии с п.1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Индекс токсичности при оценке биологической безопасности данного образца изделия определяется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водной среде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изменению морфологических показателей экспериментальных животных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 изменению подвижности сперматозоидов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использованием экспериментальных животных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в воздушной среде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 использованием спермы крупного рогатого скота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 водной среде; по изменению подвижности сперматозоидов; с использованием спермы крупного рогатого скота</w:t>
      </w:r>
    </w:p>
    <w:p>
      <w:pPr>
        <w:ind w:left="504"/>
      </w:pPr>
      <w:r>
        <w:rPr>
          <w:b w:val="0"/>
          <w:i/>
        </w:rPr>
        <w:t>«Изделия для ухода за детьми должны соответствовать следующим общим требованиям безопасности: индекс токсичности, определяемый в водной среде (дистиллированная вода), должен быть в пределах от 70 до 120 процентов включительно».</w:t>
        <w:br/>
        <w:br/>
        <w:t>В соответствии с п.1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«В основе метода лежит исследование изменения зависимости двигательной активности сперматозоидов от времени под воздействием химических соединений, содержащихся в вытяжке из исследуемых образцов.»</w:t>
        <w:br/>
        <w:br/>
        <w:t>В соответствии с п.2 МУ 1.1.037-95 «Биотестирование продукции из полимерных и других материалов»</w:t>
        <w:br/>
        <w:br/>
      </w:r>
      <w:hyperlink r:id="rId12">
        <w:r>
          <w:rPr>
            <w:color w:val="0F766E"/>
            <w:u w:val="single"/>
          </w:rPr>
          <w:t>http://docs.cntd.ru/document/1200048176</w:t>
        </w:r>
      </w:hyperlink>
    </w:p>
    <w:p>
      <w:pPr>
        <w:ind w:left="504"/>
      </w:pPr>
      <w:r>
        <w:rPr>
          <w:b w:val="0"/>
          <w:i/>
        </w:rPr>
        <w:t>«Сущность методики состоит в исследовании острой токсичности вытяжки из испытываемых изделий с применением клеточного тест-объекта. В качестве тест-объекта используется сперма крупного рогатого скота»..</w:t>
        <w:br/>
        <w:br/>
        <w:t>В соответствии с п.2 МУ 1.1.037-95 «Биотестирование продукции из полимерных и других материалов»</w:t>
        <w:br/>
        <w:br/>
      </w:r>
      <w:hyperlink r:id="rId12">
        <w:r>
          <w:rPr>
            <w:color w:val="0F766E"/>
            <w:u w:val="single"/>
          </w:rPr>
          <w:t>http://docs.cntd.ru/document/1200048176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 необходимым дополнительным (к уже проведенным) видам исследований для данного вида изделия относят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устойчивости окраски к действию мокрого трения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устойчивости к пятикратной дезинфекции химическими веществами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прочности баллончика при испытании растяжением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устойчивости к пятикратному кипячению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прочности соединения кольца с баллончиком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напряженности электростатического поля на поверхности образца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устойчивости к пятикратному кипячению; прочности соединения кольца с баллончиком</w:t>
      </w:r>
    </w:p>
    <w:p>
      <w:pPr>
        <w:ind w:left="504"/>
      </w:pPr>
      <w:r>
        <w:rPr>
          <w:b w:val="0"/>
          <w:i/>
        </w:rPr>
        <w:t>«Соски молочные и соски-пустышки должны иметь гладкую без швов наружную и внутреннюю поверхности, которые не должны слипаться после 5-кратного кипячения в дистиллированной воде».</w:t>
        <w:br/>
        <w:br/>
        <w:t>В соответствии с п.2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«Прочность соединения кольца с баллончиком в соске-пустышке должна быть не менее 40 Н»</w:t>
        <w:br/>
        <w:br/>
        <w:t>В соответствии с п.2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Подтверждение соответствия данного вида изделия в РФ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учреждениях федеральной службы по надзору в сфере защиты прав потребителей и благополучия человека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органах по сертификации, включенных в Единый реестр органов по сертификации и испытательных лабораторий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самим изготовителем на основании собственных доказательств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форме государственной регистрации с последующим декларированием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в форме декларирования соответствия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 форме сертификации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 учреждениях федеральной службы по надзору в сфере защиты прав потребителей и благополучия человека; в форме государственной регистрации с последующим декларированием</w:t>
      </w:r>
    </w:p>
    <w:p>
      <w:pPr>
        <w:ind w:left="504"/>
      </w:pPr>
      <w:r>
        <w:rPr>
          <w:b w:val="0"/>
          <w:i/>
        </w:rPr>
        <w:t>«Государственную регистрацию продукции проводит уполномоченный Стороной орган в области санитарно-эпидемиологического благополучия населения (далее - регистрационный орган)».</w:t>
        <w:br/>
        <w:br/>
        <w:t>В соответствии с п.2. ст. 12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«Оценка (подтверждение) соответствия продукции требованиям настоящего технического регламента в форме государственной регистрации с последующим декларированием соответствия осуществляется для следующей продукции: … соски молочные, соски-пустышки из латекса, резины или силиконовые;»;</w:t>
        <w:br/>
        <w:br/>
        <w:t>В соответствии с п. 2 ст. 12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Гигиена детей и подростков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Гигиена детей и подростков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Организовать и провести консультирование по обращению администрации организации для детей-сирот по вопросам, связанным с осуществлением государственного санитарно-эпидемиологического надзора.</w:t>
      </w:r>
    </w:p>
    <w:p>
      <w:pPr>
        <w:pStyle w:val="Heading2"/>
      </w:pPr>
      <w:r>
        <w:t>1. Оценка ситуации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видам профилактических мероприятий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информирование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консультирование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письменное разъяснение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профилактический визит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объявление предостережения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самообследование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информирование; консультирование; профилактический визит; объявление предостережения; самообследование</w:t>
      </w:r>
    </w:p>
    <w:p>
      <w:pPr>
        <w:ind w:left="504"/>
      </w:pPr>
      <w:r>
        <w:rPr>
          <w:b w:val="0"/>
          <w:i/>
        </w:rPr>
        <w:t>Контрольные (надзорные) органы могут проводить следующие профилактические мероприятия:</w:t>
        <w:br/>
        <w:br/>
        <w:t>1) информирование; «…»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1, ст. 45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Контрольные (надзорные) органы могут проводить следующие профилактические мероприятия:</w:t>
        <w:br/>
        <w:br/>
        <w:t>«…»</w:t>
        <w:br/>
        <w:br/>
        <w:t>5) консультирование;</w:t>
        <w:br/>
        <w:br/>
        <w:t>«…»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1, ст. 45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Контрольные (надзорные) органы могут проводить следующие профилактические мероприятия:</w:t>
        <w:br/>
        <w:br/>
        <w:t>«…»</w:t>
        <w:br/>
        <w:br/>
        <w:t>7) профилактический визит.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1, ст. 45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Контрольные (надзорные) органы могут проводить следующие профилактические мероприятия:</w:t>
        <w:br/>
        <w:br/>
        <w:t>«…»</w:t>
        <w:br/>
        <w:br/>
        <w:t>4) объявление предостережения;</w:t>
        <w:br/>
        <w:br/>
        <w:t>«…»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1, ст. 45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Контрольные (надзорные) органы могут проводить следующие профилактические мероприятия:</w:t>
        <w:br/>
        <w:br/>
        <w:t>«…»</w:t>
        <w:br/>
        <w:br/>
        <w:t>6) самообследование;</w:t>
        <w:br/>
        <w:br/>
        <w:t>«…»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1, ст. 45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основным законодательным и нормативным документам, используемым в ходе проверки организации для детей-сирот,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ФЗ от 30.03.1999 № 52 «О санитарно-эпидемиологическом благополучии населения»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Федеральный закон от 29.12.2012 № 273-ФЗ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Федеральный закон «О государственном контроле (надзоре) и муниципальном контроле в Российской Федерации» от 31.07.2020 № 248-ФЗ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 ТС 008/2011 «О безопасности игрушек»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СП 2.4.3648-20 «Санитарно-эпидемиологические требования к организациям воспитания и обучения, отдыха и оздоровления детей и молодежи»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ФЗ от 30.03.1999 № 52 «О санитарно-эпидемиологическом благополучии населения»; Федеральный закон «О государственном контроле (надзоре) и муниципальном контроле в Российской Федерации» от 31.07.2020 № 248-ФЗ; СП 2.4.3648-20 «Санитарно-эпидемиологические требования к организациям воспитания и обучения, отдыха и оздоровления детей и молодежи»;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</w:p>
    <w:p>
      <w:pPr>
        <w:ind w:left="504"/>
      </w:pPr>
      <w:r>
        <w:rPr>
          <w:b w:val="0"/>
          <w:i/>
        </w:rPr>
        <w:t>Предметом государственного контроля (надзора) являются: «…»</w:t>
        <w:br/>
        <w:t>соблюдение иных обязательных требований в области санитарно-эпидемиологического благополучия населения, установленных Федеральным законом «О санитарно-эпидемиологическом благополучии населения» «…»</w:t>
        <w:br/>
        <w:br/>
        <w:t>Постановления Правительства РФ от 30 июня 2021 г. № 1100 «О федеральном государственном санитарно-эпидемиологическом контроле (надзоре)», п. 3</w:t>
        <w:br/>
        <w:br/>
      </w:r>
      <w:hyperlink r:id="rId14">
        <w:r>
          <w:rPr>
            <w:color w:val="0F766E"/>
            <w:u w:val="single"/>
          </w:rPr>
          <w:t>https://docs.cntd.ru/document/607148291</w:t>
        </w:r>
      </w:hyperlink>
    </w:p>
    <w:p>
      <w:pPr>
        <w:ind w:left="504"/>
      </w:pPr>
      <w:r>
        <w:rPr>
          <w:b w:val="0"/>
          <w:i/>
        </w:rPr>
        <w:t>Под государственным контролем (надзором), муниципальным контролем в Российской Федерации (далее - государственный контроль (надзор), муниципальный контроль) в целях настоящего Федерального закона понимается деятельность контрольных (надзорных) органов, направленная на предупреждение, выявление и пресечение нарушений обязательных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1, ст.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Настоящие санитарные правила направлены на охрану здоровья детей и молодежи, предотвращение инфекционных, массовых неинфекционных заболеваний (отравлений) и устанавливают санитарно-эпидемиологические требования к обеспечению безопасных условий образовательной деятельности «…», включая требования к «…» отдыху и оздоровлению «…».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1.1</w:t>
        <w:br/>
        <w:br/>
      </w:r>
      <w:hyperlink r:id="rId15">
        <w:r>
          <w:rPr>
            <w:color w:val="0F766E"/>
            <w:u w:val="single"/>
          </w:rPr>
          <w:t>https://docs.cntd.ru/document/566085656</w:t>
        </w:r>
      </w:hyperlink>
    </w:p>
    <w:p>
      <w:pPr>
        <w:ind w:left="504"/>
      </w:pPr>
      <w:r>
        <w:rPr>
          <w:b w:val="0"/>
          <w:i/>
        </w:rPr>
        <w:t>В соответствии с главой VI «Гигиенические нормативы по устройству, содержанию и режиму работы организаций воспитания и обучения, отдыха и оздоровления детей и молодежи» СанПиН 1.2.3685-21 «Гигиенические нормативы и требования к обеспечению безопасности и (или) безвредности для человека факторов среды обитания», стр.369-397</w:t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гл. VI, с.369-397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Порядок проведения консультирования предусматривает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получение разъяснений по вопросам, связанным с организацией и осуществлением государственного санитарно-эпидемиологического надзора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проведение данного профилактического мероприятия по телефону, либо посредством видео-конференц-связи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отсутствие взимания платы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предоставление информации, содержащей решения должностных лиц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предоставление результатов проведенных экспертиз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осуществление данного профилактического мероприятия должностным лицом надзорного органа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получение разъяснений по вопросам, связанным с организацией и осуществлением государственного санитарно-эпидемиологического надзора; проведение данного профилактического мероприятия по телефону, либо посредством видео-конференц-связи; отсутствие взимания платы; осуществление данного профилактического мероприятия должностным лицом надзорного органа</w:t>
      </w:r>
    </w:p>
    <w:p>
      <w:pPr>
        <w:ind w:left="504"/>
      </w:pPr>
      <w:r>
        <w:rPr>
          <w:b w:val="0"/>
          <w:i/>
        </w:rPr>
        <w:t>Должностное лицо контрольного (надзорного) органа по обращениям контролируемых лиц и их представителей осуществляет консультирование (дает разъяснения по вопросам, связанным с организацией и осуществлением государственного контроля (надзора), муниципального контроля).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1, ст. 50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Консультирование может осуществляться должностным лицом контрольного (надзорного) органа по телефону, посредством видео-конференц-связи, «…»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2, ст. 50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«…» Консультирование осуществляется без взимания платы.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1, ст. 50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Должностное лицо контрольного (надзорного) органа по обращениям контролируемых лиц и их представителей осуществляет консультирование (дает разъяснения по вопросам, связанным с организацией и осуществлением государственного контроля (надзора), муниципального контроля). «…»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1, ст. 50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требованиям санитарного законодательства, обязательным для исполнения сотрудниками организации для детей-сирот,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обязательную гигиеническую подготовку и аттестацию персонала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предварительный и периодические медицинские осмотры при поступлении на работу в установленном порядке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вакцинацию каждого работника в соответствии с национальным календарем профилактических прививок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обязательное гигиеническое обучение и аттестацию персонала не реже 1 раза в 2 года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наличие личной медицинской книжки у работника организации для детей-сирот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ежедневный осмотр после окончания работы персонала организации для детей-сирот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обязательную гигиеническую подготовку и аттестацию персонала; предварительный и периодические медицинские осмотры при поступлении на работу в установленном порядке; вакцинацию каждого работника в соответствии с национальным календарем профилактических прививок; наличие личной медицинской книжки у работника организации для детей-сирот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«…» иметь личную медицинскую книжку с результатами медицинских обследований и лабораторных исследований, сведениями о прививках, «…».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Минимальный набор помещений для размещения воспитательных групп в организациях для детей-сирот предусматривает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санитарно-бытовых помещений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помещений для занятий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помещений для приема и приготовления пищи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гостиной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спален, раздельных для мальчиков и девочек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гладильной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санитарно-бытовых помещений; помещений для занятий; помещений для приема и приготовления пищи; гостиной; спален, раздельных для мальчиков и девочек</w:t>
      </w:r>
    </w:p>
    <w:p>
      <w:pPr>
        <w:ind w:left="504"/>
      </w:pPr>
      <w:r>
        <w:rPr>
          <w:b w:val="0"/>
          <w:i/>
        </w:rP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«…» санитарно-бытовые помещения (санитарные узлы, душевая или ванная комната);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3.7.2</w:t>
      </w:r>
    </w:p>
    <w:p>
      <w:pPr>
        <w:ind w:left="504"/>
      </w:pPr>
      <w:r>
        <w:rPr>
          <w:b w:val="0"/>
          <w:i/>
        </w:rP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«…» помещение для занятий (подготовки уроков);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3.7.2</w:t>
      </w:r>
    </w:p>
    <w:p>
      <w:pPr>
        <w:ind w:left="504"/>
      </w:pPr>
      <w:r>
        <w:rPr>
          <w:b w:val="0"/>
          <w:i/>
        </w:rP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«…» помещение для приема и (или) приготовления пищи;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3.7.2</w:t>
      </w:r>
    </w:p>
    <w:p>
      <w:pPr>
        <w:ind w:left="504"/>
      </w:pPr>
      <w:r>
        <w:rPr>
          <w:b w:val="0"/>
          <w:i/>
        </w:rP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«…» помещение для отдыха и игр (гостиная);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3.7.2</w:t>
      </w:r>
    </w:p>
    <w:p>
      <w:pPr>
        <w:ind w:left="504"/>
      </w:pPr>
      <w:r>
        <w:rPr>
          <w:b w:val="0"/>
          <w:i/>
        </w:rP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жилые комнаты (спальни, раздельные для мальчиков и девочек);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3.7.2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нарушениям санитарного законодательства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просушивание верхней одежды в жилых помещениях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комнаты воспитателя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превышение наполняемости воспитательных групп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проведение влажной уборки 1 раз в день во всех помещениях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отсутствие приборов для обеззараживания воздуха в помещениях постоянного пребывания детей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уборку санитарных помещений с использованием моющих средств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просушивание верхней одежды в жилых помещениях; превышение наполняемости воспитательных групп; проведение влажной уборки 1 раз в день во всех помещениях; отсутствие приборов для обеззараживания воздуха в помещениях постоянного пребывания детей; уборку санитарных помещений с использованием моющих средств</w:t>
      </w:r>
    </w:p>
    <w:p>
      <w:pPr>
        <w:ind w:left="504"/>
      </w:pPr>
      <w:r>
        <w:rPr>
          <w:b w:val="0"/>
          <w:i/>
        </w:rPr>
        <w:t>В каждой группе должны быть обеспечены условия для просушивания верхней одежды и обуви детей.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3.7.4</w:t>
      </w:r>
    </w:p>
    <w:p>
      <w:pPr>
        <w:ind w:left="504"/>
      </w:pPr>
      <w:r>
        <w:rPr>
          <w:b w:val="0"/>
          <w:i/>
        </w:rPr>
        <w:t>«…» Численность детей в воспитательной группе в возрасте до 4 лет не должна превышать 6 человек, в возрасте от 4-х и старше - 8 человек.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3.7.1</w:t>
      </w:r>
    </w:p>
    <w:p>
      <w:pPr>
        <w:ind w:left="504"/>
      </w:pPr>
      <w:r>
        <w:rPr>
          <w:b w:val="0"/>
          <w:i/>
        </w:rPr>
        <w:t>«…» Все помещения подлежат ежедневной влажной уборке с применением моющих средств. Влажная уборка в спальнях проводится после ночного и дневного сна, в спортивных залах и групповых помещениях не реже 2 раз в день.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2.11.2</w:t>
        <w:br/>
        <w:br/>
      </w:r>
      <w:hyperlink r:id="rId15">
        <w:r>
          <w:rPr>
            <w:color w:val="0F766E"/>
            <w:u w:val="single"/>
          </w:rPr>
          <w:t>https://docs.cntd.ru/document/566085656</w:t>
        </w:r>
      </w:hyperlink>
    </w:p>
    <w:p>
      <w:pPr>
        <w:ind w:left="504"/>
      </w:pPr>
      <w:r>
        <w:rPr>
          <w:b w:val="0"/>
          <w:i/>
        </w:rPr>
        <w:t>Помещения постоянного пребывания и проживания детей оборудуются приборами по обеззараживанию воздуха.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3.7.2</w:t>
      </w:r>
    </w:p>
    <w:p>
      <w:pPr>
        <w:ind w:left="504"/>
      </w:pPr>
      <w:r>
        <w:rPr>
          <w:b w:val="0"/>
          <w:i/>
        </w:rPr>
        <w:t>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пищеблока, проводится с использованием дезинфицирующих средств.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2.11.4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Спальные комнаты для проживания должны быть обеспечены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комодами для каждого проживающего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столом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тумбочками по количеству проживающих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шкафами для раздельного хранения одежды и обуви с возможностью использования их всеми проживающими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кроватями, имеющими твердое ложе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стульями по количеству проживающих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столом; тумбочками по количеству проживающих; шкафами для раздельного хранения одежды и обуви с возможностью использования их всеми проживающими; кроватями, имеющими твердое ложе; стульями по количеству проживающих</w:t>
      </w:r>
    </w:p>
    <w:p>
      <w:pPr>
        <w:ind w:left="504"/>
      </w:pPr>
      <w:r>
        <w:rPr>
          <w:b w:val="0"/>
          <w:i/>
        </w:rPr>
        <w:t>Спальные комнаты для проживания обеспечиваются «…» столом, «…». Количество столов «…» должно предусматривать возможность использования их всеми проживающими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2.4.7</w:t>
      </w:r>
    </w:p>
    <w:p>
      <w:pPr>
        <w:ind w:left="504"/>
      </w:pPr>
      <w:r>
        <w:rPr>
          <w:b w:val="0"/>
          <w:i/>
        </w:rPr>
        <w:t>Спальные комнаты для проживания обеспечиваются кроватями, тумбочками и стульями (табуреты) по количеству проживающих,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2.4.7</w:t>
      </w:r>
    </w:p>
    <w:p>
      <w:pPr>
        <w:ind w:left="504"/>
      </w:pPr>
      <w:r>
        <w:rPr>
          <w:b w:val="0"/>
          <w:i/>
        </w:rPr>
        <w:t>Спальные комнаты для проживания обеспечиваются «…» шкафом (шкафами) для раздельного хранения одежды и обуви. Количество столов и шкафов должно предусматривать возможность использования их всеми проживающими и возможность раздельного хранения вещей.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2.4.7</w:t>
      </w:r>
    </w:p>
    <w:p>
      <w:pPr>
        <w:ind w:left="504"/>
      </w:pPr>
      <w:r>
        <w:rPr>
          <w:b w:val="0"/>
          <w:i/>
        </w:rPr>
        <w:t>Спальные комнаты для проживания обеспечиваются кроватями, «…»</w:t>
        <w:br/>
        <w:br/>
        <w:t>Кровати должны иметь твердое ложе.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2.4.7, 2.4.8</w:t>
      </w:r>
    </w:p>
    <w:p>
      <w:pPr>
        <w:ind w:left="504"/>
      </w:pPr>
      <w:r>
        <w:rPr>
          <w:b w:val="0"/>
          <w:i/>
        </w:rPr>
        <w:t>Спальные комнаты для проживания обеспечиваются кроватями, тумбочками и стульями (табуреты) по количеству проживающих,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2.4.7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 требованиям к оборудованию туалетных комнат в организации для детей-сирот относят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туалетных кабин с дверями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туалетных комнат для детей (молодежи) разного пола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держателей для туалетной бумаги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сидений на унитазы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кондиционера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умывальных раковин, обеспеченных мылом, электро- или бумажными полотенцами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туалетных кабин с дверями; туалетных комнат для детей (молодежи) разного пола; держателей для туалетной бумаги; сидений на унитазы; умывальных раковин, обеспеченных мылом, электро- или бумажными полотенцами</w:t>
      </w:r>
    </w:p>
    <w:p>
      <w:pPr>
        <w:ind w:left="504"/>
      </w:pPr>
      <w:r>
        <w:rPr>
          <w:b w:val="0"/>
          <w:i/>
        </w:rPr>
        <w:t>«…»Туалетные комнаты оборудуются умывальниками и туалетными кабинами с дверями.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2.4.11</w:t>
      </w:r>
    </w:p>
    <w:p>
      <w:pPr>
        <w:ind w:left="504"/>
      </w:pPr>
      <w:r>
        <w:rPr>
          <w:b w:val="0"/>
          <w:i/>
        </w:rPr>
        <w:t>«…» На каждом этаже «…» организаций для детей-сирот и детей, оставшихся без попечения родителей, «…» оборудуются туалетные комнаты для детей (молодежи) разного пола.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2.4.11</w:t>
      </w:r>
    </w:p>
    <w:p>
      <w:pPr>
        <w:ind w:left="504"/>
      </w:pPr>
      <w:r>
        <w:rPr>
          <w:b w:val="0"/>
          <w:i/>
        </w:rPr>
        <w:t>Туалетные кабины оснащаются «…» держателями для туалетной бумаги,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2.4.11</w:t>
      </w:r>
    </w:p>
    <w:p>
      <w:pPr>
        <w:ind w:left="504"/>
      </w:pPr>
      <w:r>
        <w:rPr>
          <w:b w:val="0"/>
          <w:i/>
        </w:rPr>
        <w:t>«…» Туалетные кабины оснащаются «…», сиденьями на унитазы.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2.4.11</w:t>
      </w:r>
    </w:p>
    <w:p>
      <w:pPr>
        <w:ind w:left="504"/>
      </w:pPr>
      <w:r>
        <w:rPr>
          <w:b w:val="0"/>
          <w:i/>
        </w:rPr>
        <w:t>«…» Умывальные раковины обеспечиваются мылом, электро- или бумажными полотенцами, ведрами для сбора мусора.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2.4.11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Планировка пищеблока организации для детей-сирот, работающем на сырье, предусматривает обязательное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цеха вторичной обработки овощей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холодного цеха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загрузочного цеха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мясо-рыбного цеха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моечной для кухонной посуды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помещения для хранения тары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цеха вторичной обработки овощей; холодного цеха; загрузочного цеха; мясо-рыбного цеха; моечной для кухонной посуды</w:t>
      </w:r>
    </w:p>
    <w:p>
      <w:pPr>
        <w:ind w:left="504"/>
      </w:pPr>
      <w:r>
        <w:rPr>
          <w:b w:val="0"/>
          <w:i/>
        </w:rPr>
        <w:t>В составе комплекса помещений для приготовления и раздачи пищи, работающих на сырье, должны быть предусмотрены следующие помещения: «…» цех вторичной обработки овощей,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2.4.6.1</w:t>
      </w:r>
    </w:p>
    <w:p>
      <w:pPr>
        <w:ind w:left="504"/>
      </w:pPr>
      <w:r>
        <w:rPr>
          <w:b w:val="0"/>
          <w:i/>
        </w:rPr>
        <w:t>В составе комплекса помещений для приготовления и раздачи пищи, работающих на сырье, должны быть предусмотрены следующие помещения: «…» холодный цех,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2.4.6.1</w:t>
      </w:r>
    </w:p>
    <w:p>
      <w:pPr>
        <w:ind w:left="504"/>
      </w:pPr>
      <w:r>
        <w:rPr>
          <w:b w:val="0"/>
          <w:i/>
        </w:rPr>
        <w:t>В составе комплекса помещений для приготовления и раздачи пищи, работающих на сырье, должны быть предусмотрены следующие помещения: загрузочный цех,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2.4.6.1</w:t>
      </w:r>
    </w:p>
    <w:p>
      <w:pPr>
        <w:ind w:left="504"/>
      </w:pPr>
      <w:r>
        <w:rPr>
          <w:b w:val="0"/>
          <w:i/>
        </w:rPr>
        <w:t>В составе комплекса помещений для приготовления и раздачи пищи, работающих на сырье, должны быть предусмотрены следующие помещения: «…» мясо-рыбный цех,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2.4.6.1</w:t>
      </w:r>
    </w:p>
    <w:p>
      <w:pPr>
        <w:ind w:left="504"/>
      </w:pPr>
      <w:r>
        <w:rPr>
          <w:b w:val="0"/>
          <w:i/>
        </w:rPr>
        <w:t>В составе комплекса помещений для приготовления и раздачи пищи, работающих на сырье, должны быть предусмотрены следующие помещения: «…» моечная для кухонной посуды,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2.4.6.1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 гигиеническим требованиям к системе общего освещения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спальных корпусах предусматривается ночное (дежурное) освещение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допускается в одном помещении использовать разные типы ламп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неисправные люминесцентные лампы подвергаются ремонту и повторно используются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наличие потолочных светильников с люминесцентными или светодиодными лампами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осветительные приборы должны иметь светорассеивающую конструкцию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источники освещения должны содержаться в чистоте и исправном состоянии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 спальных корпусах предусматривается ночное (дежурное) освещение; не допускается в одном помещении использовать разные типы ламп; наличие потолочных светильников с люминесцентными или светодиодными лампами; осветительные приборы должны иметь светорассеивающую конструкцию; источники освещения должны содержаться в чистоте и исправном состоянии</w:t>
      </w:r>
    </w:p>
    <w:p>
      <w:pPr>
        <w:ind w:left="504"/>
      </w:pPr>
      <w:r>
        <w:rPr>
          <w:b w:val="0"/>
          <w:i/>
        </w:rPr>
        <w:t>В спальных корпусах дополнительно предусматривается дежурное (ночное) освещение в рекреациях (коридорах).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2.8.7</w:t>
      </w:r>
    </w:p>
    <w:p>
      <w:pPr>
        <w:ind w:left="504"/>
      </w:pPr>
      <w:r>
        <w:rPr>
          <w:b w:val="0"/>
          <w:i/>
        </w:rPr>
        <w:t>«…» Не допускается в одном помещении использовать разные типы ламп, а также лампы с разным светоизлучением.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2.8.5</w:t>
      </w:r>
    </w:p>
    <w:p>
      <w:pPr>
        <w:ind w:left="504"/>
      </w:pPr>
      <w:r>
        <w:rPr>
          <w:b w:val="0"/>
          <w:i/>
        </w:rPr>
        <w:t>Система общего освещения обеспечивается потолочными светильниками с разрядными, люминесцентными или светодиодными лампами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2.8.5</w:t>
      </w:r>
    </w:p>
    <w:p>
      <w:pPr>
        <w:ind w:left="504"/>
      </w:pPr>
      <w:r>
        <w:rPr>
          <w:b w:val="0"/>
          <w:i/>
        </w:rPr>
        <w:t>Осветительные приборы должны иметь светорассеивающую конструкцию «..»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2.8.6</w:t>
      </w:r>
    </w:p>
    <w:p>
      <w:pPr>
        <w:ind w:left="504"/>
      </w:pPr>
      <w:r>
        <w:rPr>
          <w:b w:val="0"/>
          <w:i/>
        </w:rPr>
        <w:t>Все источники искусственного освещения должны содержаться в исправном состоянии и не должны содержать следы загрязнений.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2.8.9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 нормируемым показателям организации образовательного процесса в организации для детей-сирот относят продолжительность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дневной суммарной образовательной нагрузки для обучающихся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ночного сна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утренней зарядки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учебного занятия для обучающихся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дневного сна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проведения физкультурно-оздоровительных мероприятий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дневной суммарной образовательной нагрузки для обучающихся; ночного сна; утренней зарядки; учебного занятия для обучающихся; дневного сна</w:t>
      </w:r>
    </w:p>
    <w:p>
      <w:pPr>
        <w:ind w:left="504"/>
      </w:pPr>
      <w:r>
        <w:rPr>
          <w:b w:val="0"/>
          <w:i/>
        </w:rPr>
        <w:t>Показатель «продолжительность дневной суммарной образовательной нагрузки для обучающихся» нормируется для детей разных возрастов в соответствии с таблицей 6.6. «Требования к организации образовательного процесса»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ч. VI, табл. 6.6.</w:t>
        <w:br/>
        <w:br/>
      </w:r>
      <w:hyperlink r:id="rId16">
        <w:r>
          <w:rPr>
            <w:color w:val="0F766E"/>
            <w:u w:val="single"/>
          </w:rPr>
          <w:t>https://docs.cntd.ru/document/573500115</w:t>
        </w:r>
      </w:hyperlink>
    </w:p>
    <w:p>
      <w:pPr>
        <w:ind w:left="504"/>
      </w:pPr>
      <w:r>
        <w:rPr>
          <w:b w:val="0"/>
          <w:i/>
        </w:rPr>
        <w:t>Показатель «продолжительность ночного сна» нормируется для детей разных возрастов в соответствии с таблицей 6.7. «Показатели организации образовательного процесса»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ч. VI, табл. 6.7.</w:t>
        <w:br/>
        <w:br/>
      </w:r>
      <w:hyperlink r:id="rId16">
        <w:r>
          <w:rPr>
            <w:color w:val="0F766E"/>
            <w:u w:val="single"/>
          </w:rPr>
          <w:t>https://docs.cntd.ru/document/573500115</w:t>
        </w:r>
      </w:hyperlink>
    </w:p>
    <w:p>
      <w:pPr>
        <w:ind w:left="504"/>
      </w:pPr>
      <w:r>
        <w:rPr>
          <w:b w:val="0"/>
          <w:i/>
        </w:rPr>
        <w:t>Показатель «продолжительность утренней зарядки» нормируется для детей разных возрастов в соответствии с таблицей 6.7. «Показатели организации образовательного процесса»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ч. VI, табл. 6.7.</w:t>
        <w:br/>
        <w:br/>
      </w:r>
      <w:hyperlink r:id="rId16">
        <w:r>
          <w:rPr>
            <w:color w:val="0F766E"/>
            <w:u w:val="single"/>
          </w:rPr>
          <w:t>https://docs.cntd.ru/document/573500115</w:t>
        </w:r>
      </w:hyperlink>
    </w:p>
    <w:p>
      <w:pPr>
        <w:ind w:left="504"/>
      </w:pPr>
      <w:r>
        <w:rPr>
          <w:b w:val="0"/>
          <w:i/>
        </w:rPr>
        <w:t>Показатель «продолжительность учебного занятия для обучающихся» нормируется для детей разных возрастов в соответствии с таблицей 6.6. «Требования к организации образовательного процесса»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ч. VI, табл. 6.6.</w:t>
        <w:br/>
        <w:br/>
      </w:r>
      <w:hyperlink r:id="rId16">
        <w:r>
          <w:rPr>
            <w:color w:val="0F766E"/>
            <w:u w:val="single"/>
          </w:rPr>
          <w:t>https://docs.cntd.ru/document/573500115</w:t>
        </w:r>
      </w:hyperlink>
    </w:p>
    <w:p>
      <w:pPr>
        <w:ind w:left="504"/>
      </w:pPr>
      <w:r>
        <w:rPr>
          <w:b w:val="0"/>
          <w:i/>
        </w:rPr>
        <w:t>Показатель «продолжительность дневного сна» нормируется для детей разных возрастов в соответствии с таблицей 6.7. «Показатели организации образовательного процесса»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ч. VI, табл. 6.7.</w:t>
        <w:br/>
        <w:br/>
      </w:r>
      <w:hyperlink r:id="rId16">
        <w:r>
          <w:rPr>
            <w:color w:val="0F766E"/>
            <w:u w:val="single"/>
          </w:rPr>
          <w:t>https://docs.cntd.ru/document/573500115</w:t>
        </w:r>
      </w:hyperlink>
    </w:p>
    <w:p>
      <w:pPr>
        <w:pStyle w:val="Heading2"/>
      </w:pPr>
      <w:r>
        <w:t>2. Разработка мероприятий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Консультирование не предусматривает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предоставление результатов экспертизы, проведенной в рамках надзорного мероприятия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отсутствие учета проведения данного мероприятия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разглашение информации, доступ к которой ограничен в соответствии с законодательством РФ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общение посредством видео-конференц-связи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использование полученной информации для оценки соблюдения обязательных требований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предоставление информации, содержащей оценку конкретного надзорного мероприятия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предоставление результатов экспертизы, проведенной в рамках надзорного мероприятия; отсутствие учета проведения данного мероприятия; разглашение информации, доступ к которой ограничен в соответствии с законодательством РФ; использование полученной информации для оценки соблюдения обязательных требований; предоставление информации, содержащей оценку конкретного надзорного мероприятия</w:t>
      </w:r>
    </w:p>
    <w:p>
      <w:pPr>
        <w:ind w:left="504"/>
      </w:pPr>
      <w:r>
        <w:rPr>
          <w:b w:val="0"/>
          <w:i/>
        </w:rPr>
        <w:t>В ходе консультирования не может предоставляться информация, «…» а также результаты проведенных в рамках контрольного (надзорного) мероприятия экспертизы, испытаний.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6, ст. 50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Контрольные (надзорные) органы осуществляют учет консультирований.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8, ст. 50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При осуществлении консультирования должностное лицо контрольного (надзорного) органа обязано соблюдать конфиденциальность информации, доступ к которой ограничен в соответствии с законодательством Российской Федерации.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5, ст. 50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Информация, ставшая известной должностному лицу контрольного (надзорного) органа в ходе консультирования, не может использоваться контрольным (надзорным) органом в целях оценки контролируемого лица по вопросам соблюдения обязательных требований.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7, ст. 50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В ходе консультирования не может предоставляться информация, содержащая оценку конкретного контрольного (надзорного) мероприятия «…»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6, ст. 50</w:t>
        <w:br/>
        <w:br/>
      </w:r>
      <w:hyperlink r:id="rId13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egalacts.ru/doc/prikaz-rospotrebnadzora-ot-19072007-n-224-o" TargetMode="External"/><Relationship Id="rId10" Type="http://schemas.openxmlformats.org/officeDocument/2006/relationships/hyperlink" Target="http://go.mail.ru/redir?src=33d9c6&amp;via_page=1&amp;type=sr&amp;redir=eJzLKCkpsNLXL0nNKEpN1ysq1Q8JiA9xhpDxBgYW8UYGhoZoXL2MklwGBkNTcwMjczMzQzMG_pkXf8-IXs763LPTpypt_hwAYWobLw&amp;user_type=49" TargetMode="External"/><Relationship Id="rId11" Type="http://schemas.openxmlformats.org/officeDocument/2006/relationships/hyperlink" Target="http://docs.cntd.ru/document/1200025845" TargetMode="External"/><Relationship Id="rId12" Type="http://schemas.openxmlformats.org/officeDocument/2006/relationships/hyperlink" Target="http://docs.cntd.ru/document/1200048176" TargetMode="External"/><Relationship Id="rId13" Type="http://schemas.openxmlformats.org/officeDocument/2006/relationships/hyperlink" Target="http://www.consultant.ru/document/cons_doc_LAW_358750/92dd2b5bacbe0c35bc07c3096528f0e5046d4af9/" TargetMode="External"/><Relationship Id="rId14" Type="http://schemas.openxmlformats.org/officeDocument/2006/relationships/hyperlink" Target="https://docs.cntd.ru/document/607148291" TargetMode="External"/><Relationship Id="rId15" Type="http://schemas.openxmlformats.org/officeDocument/2006/relationships/hyperlink" Target="https://docs.cntd.ru/document/566085656" TargetMode="External"/><Relationship Id="rId16" Type="http://schemas.openxmlformats.org/officeDocument/2006/relationships/hyperlink" Target="https://docs.cntd.ru/document/5735001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